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17" w:rsidRPr="00CA0C68" w:rsidRDefault="00DD1717" w:rsidP="00DD1717">
      <w:pPr>
        <w:widowControl w:val="0"/>
        <w:autoSpaceDE w:val="0"/>
        <w:autoSpaceDN w:val="0"/>
        <w:adjustRightInd w:val="0"/>
        <w:rPr>
          <w:rFonts w:ascii="Georgia" w:hAnsi="Georgia" w:cs="Georgia"/>
          <w:color w:val="3A3A3A"/>
          <w:sz w:val="16"/>
          <w:szCs w:val="16"/>
        </w:rPr>
      </w:pPr>
      <w:r w:rsidRPr="00CA0C68">
        <w:rPr>
          <w:rFonts w:ascii="Georgia" w:hAnsi="Georgia" w:cs="Georgia"/>
          <w:color w:val="3A3A3A"/>
          <w:sz w:val="16"/>
          <w:szCs w:val="16"/>
        </w:rPr>
        <w:t> Soyons partout où ça crame</w:t>
      </w:r>
      <w:r w:rsidR="00283AF5" w:rsidRPr="00CA0C68">
        <w:rPr>
          <w:rFonts w:ascii="Times New Roman" w:hAnsi="Times New Roman" w:cs="Times New Roman"/>
          <w:color w:val="3A3A3A"/>
          <w:sz w:val="16"/>
          <w:szCs w:val="16"/>
        </w:rPr>
        <w:t>.</w:t>
      </w:r>
    </w:p>
    <w:p w:rsidR="00DD1717" w:rsidRPr="00CA0C68" w:rsidRDefault="006F2F8F" w:rsidP="00DD1717">
      <w:pPr>
        <w:widowControl w:val="0"/>
        <w:autoSpaceDE w:val="0"/>
        <w:autoSpaceDN w:val="0"/>
        <w:adjustRightInd w:val="0"/>
        <w:rPr>
          <w:rFonts w:ascii="Georgia" w:hAnsi="Georgia" w:cs="Georgia"/>
          <w:color w:val="3356C7"/>
          <w:sz w:val="16"/>
          <w:szCs w:val="16"/>
        </w:rPr>
      </w:pPr>
      <w:r w:rsidRPr="00CA0C68">
        <w:rPr>
          <w:rFonts w:ascii="Georgia" w:hAnsi="Georgia" w:cs="Georgia"/>
          <w:color w:val="3A3A3A"/>
          <w:sz w:val="16"/>
          <w:szCs w:val="16"/>
        </w:rPr>
        <w:fldChar w:fldCharType="begin"/>
      </w:r>
      <w:r w:rsidR="00DD1717" w:rsidRPr="00CA0C68">
        <w:rPr>
          <w:rFonts w:ascii="Georgia" w:hAnsi="Georgia" w:cs="Georgia"/>
          <w:color w:val="3A3A3A"/>
          <w:sz w:val="16"/>
          <w:szCs w:val="16"/>
        </w:rPr>
        <w:instrText>HYPERLINK "https://cqfd-journal.org/IMG/jpg/p14--godin-illustr.jpg"</w:instrText>
      </w:r>
      <w:r w:rsidRPr="00CA0C68">
        <w:rPr>
          <w:rFonts w:ascii="Georgia" w:hAnsi="Georgia" w:cs="Georgia"/>
          <w:color w:val="3A3A3A"/>
          <w:sz w:val="16"/>
          <w:szCs w:val="16"/>
        </w:rPr>
        <w:fldChar w:fldCharType="separate"/>
      </w:r>
    </w:p>
    <w:p w:rsidR="00DD1717" w:rsidRPr="00CA0C68" w:rsidRDefault="006F2F8F" w:rsidP="00DD1717">
      <w:pPr>
        <w:widowControl w:val="0"/>
        <w:autoSpaceDE w:val="0"/>
        <w:autoSpaceDN w:val="0"/>
        <w:adjustRightInd w:val="0"/>
        <w:rPr>
          <w:rFonts w:ascii="Georgia" w:hAnsi="Georgia" w:cs="Georgia"/>
          <w:color w:val="323232"/>
          <w:sz w:val="16"/>
          <w:szCs w:val="16"/>
        </w:rPr>
      </w:pPr>
      <w:r w:rsidRPr="00CA0C68">
        <w:rPr>
          <w:rFonts w:ascii="Georgia" w:hAnsi="Georgia" w:cs="Georgia"/>
          <w:color w:val="3A3A3A"/>
          <w:sz w:val="16"/>
          <w:szCs w:val="16"/>
        </w:rPr>
        <w:fldChar w:fldCharType="end"/>
      </w:r>
      <w:r w:rsidR="00DD1717" w:rsidRPr="00CA0C68">
        <w:rPr>
          <w:rFonts w:ascii="Georgia" w:hAnsi="Georgia" w:cs="Georgia"/>
          <w:color w:val="323232"/>
          <w:sz w:val="16"/>
          <w:szCs w:val="16"/>
        </w:rPr>
        <w:t xml:space="preserve">Quelques suggestions de livres-cadeaux mécréants. </w:t>
      </w:r>
      <w:hyperlink r:id="rId4" w:history="1">
        <w:r w:rsidR="00DD1717" w:rsidRPr="00CA0C68">
          <w:rPr>
            <w:rFonts w:ascii="Georgia" w:hAnsi="Georgia" w:cs="Georgia"/>
            <w:i/>
            <w:iCs/>
            <w:color w:val="3356C7"/>
            <w:sz w:val="16"/>
            <w:szCs w:val="16"/>
          </w:rPr>
          <w:t>À nos amis</w:t>
        </w:r>
      </w:hyperlink>
      <w:r w:rsidR="00DD1717" w:rsidRPr="00CA0C68">
        <w:rPr>
          <w:rFonts w:ascii="Georgia" w:hAnsi="Georgia" w:cs="Georgia"/>
          <w:color w:val="323232"/>
          <w:sz w:val="16"/>
          <w:szCs w:val="16"/>
        </w:rPr>
        <w:t xml:space="preserve"> par le Comité invisible (La Fabrique) démontre cliniquement, et aussi fort espièglement</w:t>
      </w:r>
      <w:bookmarkStart w:id="0" w:name="_GoBack"/>
      <w:bookmarkEnd w:id="0"/>
      <w:r w:rsidR="00DD1717" w:rsidRPr="00CA0C68">
        <w:rPr>
          <w:rFonts w:ascii="Georgia" w:hAnsi="Georgia" w:cs="Georgia"/>
          <w:color w:val="323232"/>
          <w:sz w:val="16"/>
          <w:szCs w:val="16"/>
        </w:rPr>
        <w:t>, que « </w:t>
      </w:r>
      <w:r w:rsidR="00DD1717" w:rsidRPr="00CA0C68">
        <w:rPr>
          <w:rFonts w:ascii="Georgia" w:hAnsi="Georgia" w:cs="Georgia"/>
          <w:i/>
          <w:iCs/>
          <w:color w:val="323232"/>
          <w:sz w:val="16"/>
          <w:szCs w:val="16"/>
        </w:rPr>
        <w:t xml:space="preserve"> notre civilisation est déjà morte</w:t>
      </w:r>
      <w:r w:rsidR="00DD1717" w:rsidRPr="00CA0C68">
        <w:rPr>
          <w:rFonts w:ascii="Georgia" w:hAnsi="Georgia" w:cs="Georgia"/>
          <w:color w:val="323232"/>
          <w:sz w:val="16"/>
          <w:szCs w:val="16"/>
        </w:rPr>
        <w:t> », que « </w:t>
      </w:r>
      <w:r w:rsidR="00DD1717" w:rsidRPr="00CA0C68">
        <w:rPr>
          <w:rFonts w:ascii="Georgia" w:hAnsi="Georgia" w:cs="Georgia"/>
          <w:i/>
          <w:iCs/>
          <w:color w:val="323232"/>
          <w:sz w:val="16"/>
          <w:szCs w:val="16"/>
        </w:rPr>
        <w:t>la crise est un mode de gouvernement</w:t>
      </w:r>
      <w:r w:rsidR="00DD1717" w:rsidRPr="00CA0C68">
        <w:rPr>
          <w:rFonts w:ascii="Georgia" w:hAnsi="Georgia" w:cs="Georgia"/>
          <w:color w:val="323232"/>
          <w:sz w:val="16"/>
          <w:szCs w:val="16"/>
        </w:rPr>
        <w:t> », que l’apocalyptique, intégralement absorbé par le capital, « </w:t>
      </w:r>
      <w:r w:rsidR="00DD1717" w:rsidRPr="00CA0C68">
        <w:rPr>
          <w:rFonts w:ascii="Georgia" w:hAnsi="Georgia" w:cs="Georgia"/>
          <w:i/>
          <w:iCs/>
          <w:color w:val="323232"/>
          <w:sz w:val="16"/>
          <w:szCs w:val="16"/>
        </w:rPr>
        <w:t xml:space="preserve"> impose ici et maintenant l’attente, la passivité, la soumission</w:t>
      </w:r>
      <w:r w:rsidR="00DD1717" w:rsidRPr="00CA0C68">
        <w:rPr>
          <w:rFonts w:ascii="Georgia" w:hAnsi="Georgia" w:cs="Georgia"/>
          <w:color w:val="323232"/>
          <w:sz w:val="16"/>
          <w:szCs w:val="16"/>
        </w:rPr>
        <w:t> ». Mais que nous ne sommes pas pour autant « </w:t>
      </w:r>
      <w:r w:rsidR="00DD1717" w:rsidRPr="00CA0C68">
        <w:rPr>
          <w:rFonts w:ascii="Georgia" w:hAnsi="Georgia" w:cs="Georgia"/>
          <w:i/>
          <w:iCs/>
          <w:color w:val="323232"/>
          <w:sz w:val="16"/>
          <w:szCs w:val="16"/>
        </w:rPr>
        <w:t xml:space="preserve">foutus, ni </w:t>
      </w:r>
      <w:proofErr w:type="spellStart"/>
      <w:r w:rsidR="00DD1717" w:rsidRPr="00CA0C68">
        <w:rPr>
          <w:rFonts w:ascii="Georgia" w:hAnsi="Georgia" w:cs="Georgia"/>
          <w:i/>
          <w:iCs/>
          <w:color w:val="323232"/>
          <w:sz w:val="16"/>
          <w:szCs w:val="16"/>
        </w:rPr>
        <w:t>archifoutus</w:t>
      </w:r>
      <w:proofErr w:type="spellEnd"/>
      <w:r w:rsidR="00DD1717" w:rsidRPr="00CA0C68">
        <w:rPr>
          <w:rFonts w:ascii="Georgia" w:hAnsi="Georgia" w:cs="Georgia"/>
          <w:color w:val="323232"/>
          <w:sz w:val="16"/>
          <w:szCs w:val="16"/>
        </w:rPr>
        <w:t xml:space="preserve"> », comme disait le Père Duchesne. Puisque nous savons comment </w:t>
      </w:r>
      <w:proofErr w:type="gramStart"/>
      <w:r w:rsidR="00DD1717" w:rsidRPr="00CA0C68">
        <w:rPr>
          <w:rFonts w:ascii="Georgia" w:hAnsi="Georgia" w:cs="Georgia"/>
          <w:color w:val="323232"/>
          <w:sz w:val="16"/>
          <w:szCs w:val="16"/>
        </w:rPr>
        <w:t>retourner</w:t>
      </w:r>
      <w:proofErr w:type="gramEnd"/>
      <w:r w:rsidR="00DD1717" w:rsidRPr="00CA0C68">
        <w:rPr>
          <w:rFonts w:ascii="Georgia" w:hAnsi="Georgia" w:cs="Georgia"/>
          <w:color w:val="323232"/>
          <w:sz w:val="16"/>
          <w:szCs w:val="16"/>
        </w:rPr>
        <w:t xml:space="preserve"> les stratégies contre-révolutionnaires contre elles-mêmes. Comment « </w:t>
      </w:r>
      <w:r w:rsidR="00DD1717" w:rsidRPr="00CA0C68">
        <w:rPr>
          <w:rFonts w:ascii="Georgia" w:hAnsi="Georgia" w:cs="Georgia"/>
          <w:i/>
          <w:iCs/>
          <w:color w:val="323232"/>
          <w:sz w:val="16"/>
          <w:szCs w:val="16"/>
        </w:rPr>
        <w:t>désarticuler le règne de la normalité dans les métropoles en y bloquant tout</w:t>
      </w:r>
      <w:r w:rsidR="00DD1717" w:rsidRPr="00CA0C68">
        <w:rPr>
          <w:rFonts w:ascii="Georgia" w:hAnsi="Georgia" w:cs="Georgia"/>
          <w:color w:val="323232"/>
          <w:sz w:val="16"/>
          <w:szCs w:val="16"/>
        </w:rPr>
        <w:t> ». Comment « </w:t>
      </w:r>
      <w:r w:rsidR="00DD1717" w:rsidRPr="00CA0C68">
        <w:rPr>
          <w:rFonts w:ascii="Georgia" w:hAnsi="Georgia" w:cs="Georgia"/>
          <w:i/>
          <w:iCs/>
          <w:color w:val="323232"/>
          <w:sz w:val="16"/>
          <w:szCs w:val="16"/>
        </w:rPr>
        <w:t>rompre avec la géographie existante</w:t>
      </w:r>
      <w:r w:rsidR="00DD1717" w:rsidRPr="00CA0C68">
        <w:rPr>
          <w:rFonts w:ascii="Georgia" w:hAnsi="Georgia" w:cs="Georgia"/>
          <w:color w:val="323232"/>
          <w:sz w:val="16"/>
          <w:szCs w:val="16"/>
        </w:rPr>
        <w:t> ». Comment « h</w:t>
      </w:r>
      <w:r w:rsidR="00DD1717" w:rsidRPr="00CA0C68">
        <w:rPr>
          <w:rFonts w:ascii="Georgia" w:hAnsi="Georgia" w:cs="Georgia"/>
          <w:i/>
          <w:iCs/>
          <w:color w:val="323232"/>
          <w:sz w:val="16"/>
          <w:szCs w:val="16"/>
        </w:rPr>
        <w:t xml:space="preserve">abiter des terrains dans l’optique de ce qu’ils pourraient devenir </w:t>
      </w:r>
      <w:r w:rsidR="00DD1717" w:rsidRPr="00CA0C68">
        <w:rPr>
          <w:rFonts w:ascii="Georgia" w:hAnsi="Georgia" w:cs="Georgia"/>
          <w:color w:val="323232"/>
          <w:sz w:val="16"/>
          <w:szCs w:val="16"/>
        </w:rPr>
        <w:t> ». Comment « </w:t>
      </w:r>
      <w:r w:rsidR="00DD1717" w:rsidRPr="00CA0C68">
        <w:rPr>
          <w:rFonts w:ascii="Georgia" w:hAnsi="Georgia" w:cs="Georgia"/>
          <w:i/>
          <w:iCs/>
          <w:color w:val="323232"/>
          <w:sz w:val="16"/>
          <w:szCs w:val="16"/>
        </w:rPr>
        <w:t>habiter quotidiennement une situation d’exception</w:t>
      </w:r>
      <w:r w:rsidR="00DD1717" w:rsidRPr="00CA0C68">
        <w:rPr>
          <w:rFonts w:ascii="Georgia" w:hAnsi="Georgia" w:cs="Georgia"/>
          <w:color w:val="323232"/>
          <w:sz w:val="16"/>
          <w:szCs w:val="16"/>
        </w:rPr>
        <w:t> ».</w:t>
      </w:r>
    </w:p>
    <w:p w:rsidR="00DD1717" w:rsidRPr="00CA0C68" w:rsidRDefault="00DD1717" w:rsidP="00DD1717">
      <w:pPr>
        <w:widowControl w:val="0"/>
        <w:autoSpaceDE w:val="0"/>
        <w:autoSpaceDN w:val="0"/>
        <w:adjustRightInd w:val="0"/>
        <w:rPr>
          <w:rFonts w:ascii="Georgia" w:hAnsi="Georgia" w:cs="Georgia"/>
          <w:color w:val="323232"/>
          <w:sz w:val="16"/>
          <w:szCs w:val="16"/>
        </w:rPr>
      </w:pPr>
      <w:r w:rsidRPr="00CA0C68">
        <w:rPr>
          <w:rFonts w:ascii="Georgia" w:hAnsi="Georgia" w:cs="Georgia"/>
          <w:color w:val="323232"/>
          <w:sz w:val="16"/>
          <w:szCs w:val="16"/>
        </w:rPr>
        <w:t>Et encore comment « </w:t>
      </w:r>
      <w:r w:rsidRPr="00CA0C68">
        <w:rPr>
          <w:rFonts w:ascii="Georgia" w:hAnsi="Georgia" w:cs="Georgia"/>
          <w:i/>
          <w:iCs/>
          <w:color w:val="323232"/>
          <w:sz w:val="16"/>
          <w:szCs w:val="16"/>
        </w:rPr>
        <w:t xml:space="preserve"> nous tenir ensemble </w:t>
      </w:r>
      <w:r w:rsidRPr="00CA0C68">
        <w:rPr>
          <w:rFonts w:ascii="Georgia" w:hAnsi="Georgia" w:cs="Georgia"/>
          <w:color w:val="323232"/>
          <w:sz w:val="16"/>
          <w:szCs w:val="16"/>
        </w:rPr>
        <w:t> ». Comment nous auto-organiser. Comment destituer toute espèce de pouvoir en nous et autour de nous. Comment mettre en commun. Comment en finir avec l’économie. Comment porter des coups. Comment retrouver « </w:t>
      </w:r>
      <w:r w:rsidRPr="00CA0C68">
        <w:rPr>
          <w:rFonts w:ascii="Georgia" w:hAnsi="Georgia" w:cs="Georgia"/>
          <w:i/>
          <w:iCs/>
          <w:color w:val="323232"/>
          <w:sz w:val="16"/>
          <w:szCs w:val="16"/>
        </w:rPr>
        <w:t xml:space="preserve"> les affects vitaux</w:t>
      </w:r>
      <w:r w:rsidRPr="00CA0C68">
        <w:rPr>
          <w:rFonts w:ascii="Georgia" w:hAnsi="Georgia" w:cs="Georgia"/>
          <w:color w:val="323232"/>
          <w:sz w:val="16"/>
          <w:szCs w:val="16"/>
        </w:rPr>
        <w:t xml:space="preserve"> » qui aimantaient notre enfance. Comment alimenter notre force de frappe avec l’intensité même de ce que nous vivons. Autrement dit, comment mettre illico le cap sur l’utopie en anticipant celle-ci </w:t>
      </w:r>
      <w:proofErr w:type="spellStart"/>
      <w:r w:rsidRPr="00CA0C68">
        <w:rPr>
          <w:rFonts w:ascii="Georgia" w:hAnsi="Georgia" w:cs="Georgia"/>
          <w:color w:val="323232"/>
          <w:sz w:val="16"/>
          <w:szCs w:val="16"/>
        </w:rPr>
        <w:t>gredinement</w:t>
      </w:r>
      <w:proofErr w:type="spellEnd"/>
      <w:r w:rsidRPr="00CA0C68">
        <w:rPr>
          <w:rFonts w:ascii="Georgia" w:hAnsi="Georgia" w:cs="Georgia"/>
          <w:color w:val="323232"/>
          <w:sz w:val="16"/>
          <w:szCs w:val="16"/>
        </w:rPr>
        <w:t>.</w:t>
      </w:r>
    </w:p>
    <w:p w:rsidR="00DD1717" w:rsidRPr="00CA0C68" w:rsidRDefault="00DD1717" w:rsidP="00DD1717">
      <w:pPr>
        <w:widowControl w:val="0"/>
        <w:autoSpaceDE w:val="0"/>
        <w:autoSpaceDN w:val="0"/>
        <w:adjustRightInd w:val="0"/>
        <w:rPr>
          <w:rFonts w:ascii="Georgia" w:hAnsi="Georgia" w:cs="Georgia"/>
          <w:color w:val="323232"/>
          <w:sz w:val="16"/>
          <w:szCs w:val="16"/>
        </w:rPr>
      </w:pPr>
      <w:r w:rsidRPr="00CA0C68">
        <w:rPr>
          <w:rFonts w:ascii="Georgia" w:hAnsi="Georgia" w:cs="Georgia"/>
          <w:color w:val="323232"/>
          <w:sz w:val="16"/>
          <w:szCs w:val="16"/>
        </w:rPr>
        <w:t xml:space="preserve">Les situationnistes tentèrent aussi, comme on sait, d’approcher l’esprit du nouveau monde </w:t>
      </w:r>
      <w:proofErr w:type="spellStart"/>
      <w:r w:rsidRPr="00CA0C68">
        <w:rPr>
          <w:rFonts w:ascii="Georgia" w:hAnsi="Georgia" w:cs="Georgia"/>
          <w:color w:val="323232"/>
          <w:sz w:val="16"/>
          <w:szCs w:val="16"/>
        </w:rPr>
        <w:t>ludico</w:t>
      </w:r>
      <w:proofErr w:type="spellEnd"/>
      <w:r w:rsidRPr="00CA0C68">
        <w:rPr>
          <w:rFonts w:ascii="Georgia" w:hAnsi="Georgia" w:cs="Georgia"/>
          <w:color w:val="323232"/>
          <w:sz w:val="16"/>
          <w:szCs w:val="16"/>
        </w:rPr>
        <w:t xml:space="preserve">-libertaire auquel ils aspiraient dans leur style d’organisation </w:t>
      </w:r>
      <w:proofErr w:type="spellStart"/>
      <w:r w:rsidRPr="00CA0C68">
        <w:rPr>
          <w:rFonts w:ascii="Georgia" w:hAnsi="Georgia" w:cs="Georgia"/>
          <w:color w:val="323232"/>
          <w:sz w:val="16"/>
          <w:szCs w:val="16"/>
        </w:rPr>
        <w:t>anti-hiérarchique</w:t>
      </w:r>
      <w:proofErr w:type="spellEnd"/>
      <w:r w:rsidRPr="00CA0C68">
        <w:rPr>
          <w:rFonts w:ascii="Georgia" w:hAnsi="Georgia" w:cs="Georgia"/>
          <w:color w:val="323232"/>
          <w:sz w:val="16"/>
          <w:szCs w:val="16"/>
        </w:rPr>
        <w:t xml:space="preserve">, dans leurs dérives hédonistes, dans leurs jeux guerriers ou dans leurs expériences d’urbanisme unitaire. C’est très minutieusement que leur offensive est décrite dans le tout à fait passionnant </w:t>
      </w:r>
      <w:r w:rsidRPr="00CA0C68">
        <w:rPr>
          <w:rFonts w:ascii="Georgia" w:hAnsi="Georgia" w:cs="Georgia"/>
          <w:i/>
          <w:iCs/>
          <w:color w:val="323232"/>
          <w:sz w:val="16"/>
          <w:szCs w:val="16"/>
        </w:rPr>
        <w:t>Rien n’est fini, tout commence</w:t>
      </w:r>
      <w:r w:rsidRPr="00CA0C68">
        <w:rPr>
          <w:rFonts w:ascii="Georgia" w:hAnsi="Georgia" w:cs="Georgia"/>
          <w:color w:val="323232"/>
          <w:sz w:val="16"/>
          <w:szCs w:val="16"/>
        </w:rPr>
        <w:t xml:space="preserve"> (Allia), un entretien-fleuve de l’éditeur Gérard </w:t>
      </w:r>
      <w:proofErr w:type="spellStart"/>
      <w:r w:rsidRPr="00CA0C68">
        <w:rPr>
          <w:rFonts w:ascii="Georgia" w:hAnsi="Georgia" w:cs="Georgia"/>
          <w:color w:val="323232"/>
          <w:sz w:val="16"/>
          <w:szCs w:val="16"/>
        </w:rPr>
        <w:t>Berréby</w:t>
      </w:r>
      <w:proofErr w:type="spellEnd"/>
      <w:r w:rsidRPr="00CA0C68">
        <w:rPr>
          <w:rFonts w:ascii="Georgia" w:hAnsi="Georgia" w:cs="Georgia"/>
          <w:color w:val="323232"/>
          <w:sz w:val="16"/>
          <w:szCs w:val="16"/>
        </w:rPr>
        <w:t xml:space="preserve"> avec l’une des deux âmes très damnée du mouvement situ entre 1961 et 1969, Raoul </w:t>
      </w:r>
      <w:proofErr w:type="spellStart"/>
      <w:r w:rsidRPr="00CA0C68">
        <w:rPr>
          <w:rFonts w:ascii="Georgia" w:hAnsi="Georgia" w:cs="Georgia"/>
          <w:color w:val="323232"/>
          <w:sz w:val="16"/>
          <w:szCs w:val="16"/>
        </w:rPr>
        <w:t>Vaneigem</w:t>
      </w:r>
      <w:proofErr w:type="spellEnd"/>
      <w:r w:rsidRPr="00CA0C68">
        <w:rPr>
          <w:rFonts w:ascii="Georgia" w:hAnsi="Georgia" w:cs="Georgia"/>
          <w:color w:val="323232"/>
          <w:sz w:val="16"/>
          <w:szCs w:val="16"/>
        </w:rPr>
        <w:t xml:space="preserve">. Sont interrogés parallèlement sur les frasques de l’auteur du </w:t>
      </w:r>
      <w:r w:rsidRPr="00CA0C68">
        <w:rPr>
          <w:rFonts w:ascii="Georgia" w:hAnsi="Georgia" w:cs="Georgia"/>
          <w:i/>
          <w:iCs/>
          <w:color w:val="323232"/>
          <w:sz w:val="16"/>
          <w:szCs w:val="16"/>
        </w:rPr>
        <w:t>Traité</w:t>
      </w:r>
      <w:r w:rsidRPr="00CA0C68">
        <w:rPr>
          <w:rFonts w:ascii="Georgia" w:hAnsi="Georgia" w:cs="Georgia"/>
          <w:color w:val="323232"/>
          <w:sz w:val="16"/>
          <w:szCs w:val="16"/>
        </w:rPr>
        <w:t xml:space="preserve"> un de ses anciens élèves (qu’il logeait parfois chez lui flanqué d’une vingtaine de petits camarades</w:t>
      </w:r>
      <w:proofErr w:type="gramStart"/>
      <w:r w:rsidRPr="00CA0C68">
        <w:rPr>
          <w:rFonts w:ascii="Times New Roman" w:hAnsi="Times New Roman" w:cs="Times New Roman"/>
          <w:color w:val="323232"/>
          <w:sz w:val="16"/>
          <w:szCs w:val="16"/>
        </w:rPr>
        <w:t> </w:t>
      </w:r>
      <w:r w:rsidRPr="00CA0C68">
        <w:rPr>
          <w:rFonts w:ascii="Georgia" w:hAnsi="Georgia" w:cs="Georgia"/>
          <w:color w:val="323232"/>
          <w:sz w:val="16"/>
          <w:szCs w:val="16"/>
        </w:rPr>
        <w:t> !</w:t>
      </w:r>
      <w:proofErr w:type="gramEnd"/>
      <w:r w:rsidRPr="00CA0C68">
        <w:rPr>
          <w:rFonts w:ascii="Georgia" w:hAnsi="Georgia" w:cs="Georgia"/>
          <w:color w:val="323232"/>
          <w:sz w:val="16"/>
          <w:szCs w:val="16"/>
        </w:rPr>
        <w:t xml:space="preserve">), une de ses anciennes amoureuses, la chanteuse d’agit-prop à ses heures Clairette </w:t>
      </w:r>
      <w:proofErr w:type="spellStart"/>
      <w:r w:rsidRPr="00CA0C68">
        <w:rPr>
          <w:rFonts w:ascii="Georgia" w:hAnsi="Georgia" w:cs="Georgia"/>
          <w:color w:val="323232"/>
          <w:sz w:val="16"/>
          <w:szCs w:val="16"/>
        </w:rPr>
        <w:t>Schock</w:t>
      </w:r>
      <w:proofErr w:type="spellEnd"/>
      <w:r w:rsidRPr="00CA0C68">
        <w:rPr>
          <w:rFonts w:ascii="Georgia" w:hAnsi="Georgia" w:cs="Georgia"/>
          <w:color w:val="323232"/>
          <w:sz w:val="16"/>
          <w:szCs w:val="16"/>
        </w:rPr>
        <w:t xml:space="preserve"> et sa partenaire </w:t>
      </w:r>
      <w:proofErr w:type="spellStart"/>
      <w:r w:rsidRPr="00CA0C68">
        <w:rPr>
          <w:rFonts w:ascii="Georgia" w:hAnsi="Georgia" w:cs="Georgia"/>
          <w:color w:val="323232"/>
          <w:sz w:val="16"/>
          <w:szCs w:val="16"/>
        </w:rPr>
        <w:t>pivotale</w:t>
      </w:r>
      <w:proofErr w:type="spellEnd"/>
      <w:r w:rsidRPr="00CA0C68">
        <w:rPr>
          <w:rFonts w:ascii="Georgia" w:hAnsi="Georgia" w:cs="Georgia"/>
          <w:color w:val="323232"/>
          <w:sz w:val="16"/>
          <w:szCs w:val="16"/>
        </w:rPr>
        <w:t xml:space="preserve"> Thérèse </w:t>
      </w:r>
      <w:proofErr w:type="spellStart"/>
      <w:r w:rsidRPr="00CA0C68">
        <w:rPr>
          <w:rFonts w:ascii="Georgia" w:hAnsi="Georgia" w:cs="Georgia"/>
          <w:color w:val="323232"/>
          <w:sz w:val="16"/>
          <w:szCs w:val="16"/>
        </w:rPr>
        <w:t>Dubrule</w:t>
      </w:r>
      <w:proofErr w:type="spellEnd"/>
      <w:r w:rsidRPr="00CA0C68">
        <w:rPr>
          <w:rFonts w:ascii="Georgia" w:hAnsi="Georgia" w:cs="Georgia"/>
          <w:color w:val="323232"/>
          <w:sz w:val="16"/>
          <w:szCs w:val="16"/>
        </w:rPr>
        <w:t>.</w:t>
      </w:r>
    </w:p>
    <w:p w:rsidR="00DD1717" w:rsidRPr="00CA0C68" w:rsidRDefault="006F2F8F" w:rsidP="00DD1717">
      <w:pPr>
        <w:widowControl w:val="0"/>
        <w:autoSpaceDE w:val="0"/>
        <w:autoSpaceDN w:val="0"/>
        <w:adjustRightInd w:val="0"/>
        <w:rPr>
          <w:rFonts w:ascii="Helvetica Neue" w:hAnsi="Helvetica Neue" w:cs="Helvetica Neue"/>
          <w:color w:val="3356C7"/>
          <w:sz w:val="16"/>
          <w:szCs w:val="16"/>
        </w:rPr>
      </w:pPr>
      <w:r w:rsidRPr="00CA0C68">
        <w:rPr>
          <w:rFonts w:ascii="Georgia" w:hAnsi="Georgia" w:cs="Georgia"/>
          <w:color w:val="323232"/>
          <w:sz w:val="16"/>
          <w:szCs w:val="16"/>
        </w:rPr>
        <w:fldChar w:fldCharType="begin"/>
      </w:r>
      <w:r w:rsidR="00DD1717" w:rsidRPr="00CA0C68">
        <w:rPr>
          <w:rFonts w:ascii="Georgia" w:hAnsi="Georgia" w:cs="Georgia"/>
          <w:color w:val="323232"/>
          <w:sz w:val="16"/>
          <w:szCs w:val="16"/>
        </w:rPr>
        <w:instrText>HYPERLINK "https://cqfd-journal.org/IMG/jpg/p14-machine-stops.jpg"</w:instrText>
      </w:r>
      <w:r w:rsidRPr="00CA0C68">
        <w:rPr>
          <w:rFonts w:ascii="Georgia" w:hAnsi="Georgia" w:cs="Georgia"/>
          <w:color w:val="323232"/>
          <w:sz w:val="16"/>
          <w:szCs w:val="16"/>
        </w:rPr>
        <w:fldChar w:fldCharType="separate"/>
      </w:r>
    </w:p>
    <w:p w:rsidR="005C3697" w:rsidRPr="00CA0C68" w:rsidRDefault="006F2F8F" w:rsidP="00DD1717">
      <w:pPr>
        <w:rPr>
          <w:rFonts w:ascii="Georgia" w:hAnsi="Georgia" w:cs="Georgia"/>
          <w:color w:val="323232"/>
          <w:sz w:val="16"/>
          <w:szCs w:val="16"/>
        </w:rPr>
      </w:pPr>
      <w:r w:rsidRPr="00CA0C68">
        <w:rPr>
          <w:rFonts w:ascii="Georgia" w:hAnsi="Georgia" w:cs="Georgia"/>
          <w:color w:val="323232"/>
          <w:sz w:val="16"/>
          <w:szCs w:val="16"/>
        </w:rPr>
        <w:fldChar w:fldCharType="end"/>
      </w:r>
      <w:r w:rsidR="00DD1717" w:rsidRPr="00CA0C68">
        <w:rPr>
          <w:rFonts w:ascii="Georgia" w:hAnsi="Georgia" w:cs="Georgia"/>
          <w:color w:val="323232"/>
          <w:sz w:val="16"/>
          <w:szCs w:val="16"/>
        </w:rPr>
        <w:t>La nouvelle maison d’édition rebelle Le Pas de côté n’y va pas de main morte. Elle publie coup sur coup une dizaine d’invitations à une « </w:t>
      </w:r>
      <w:r w:rsidR="00DD1717" w:rsidRPr="00CA0C68">
        <w:rPr>
          <w:rFonts w:ascii="Georgia" w:hAnsi="Georgia" w:cs="Georgia"/>
          <w:i/>
          <w:iCs/>
          <w:color w:val="323232"/>
          <w:sz w:val="16"/>
          <w:szCs w:val="16"/>
        </w:rPr>
        <w:t>autre idée de la vie</w:t>
      </w:r>
      <w:r w:rsidR="00DD1717" w:rsidRPr="00CA0C68">
        <w:rPr>
          <w:rFonts w:ascii="Georgia" w:hAnsi="Georgia" w:cs="Georgia"/>
          <w:color w:val="323232"/>
          <w:sz w:val="16"/>
          <w:szCs w:val="16"/>
        </w:rPr>
        <w:t xml:space="preserve"> » selon la formule du Comité invisible, dont trois rééditions (deux précieuses, une toquarde). </w:t>
      </w:r>
      <w:r w:rsidR="00DD1717" w:rsidRPr="00CA0C68">
        <w:rPr>
          <w:rFonts w:ascii="Georgia" w:hAnsi="Georgia" w:cs="Georgia"/>
          <w:i/>
          <w:iCs/>
          <w:color w:val="323232"/>
          <w:sz w:val="16"/>
          <w:szCs w:val="16"/>
        </w:rPr>
        <w:t>Détruisons les machines</w:t>
      </w:r>
      <w:r w:rsidR="00DD1717" w:rsidRPr="00CA0C68">
        <w:rPr>
          <w:rFonts w:ascii="Georgia" w:hAnsi="Georgia" w:cs="Georgia"/>
          <w:color w:val="323232"/>
          <w:sz w:val="16"/>
          <w:szCs w:val="16"/>
        </w:rPr>
        <w:t xml:space="preserve"> (1863) de Samuel Butler, auteur </w:t>
      </w:r>
      <w:r w:rsidR="00DD1717" w:rsidRPr="00CA0C68">
        <w:rPr>
          <w:rFonts w:ascii="Georgia" w:hAnsi="Georgia" w:cs="Georgia"/>
          <w:i/>
          <w:iCs/>
          <w:color w:val="323232"/>
          <w:sz w:val="16"/>
          <w:szCs w:val="16"/>
        </w:rPr>
        <w:t>british</w:t>
      </w:r>
      <w:r w:rsidR="00DD1717" w:rsidRPr="00CA0C68">
        <w:rPr>
          <w:rFonts w:ascii="Georgia" w:hAnsi="Georgia" w:cs="Georgia"/>
          <w:color w:val="323232"/>
          <w:sz w:val="16"/>
          <w:szCs w:val="16"/>
        </w:rPr>
        <w:t xml:space="preserve"> du légendaire roman </w:t>
      </w:r>
      <w:proofErr w:type="spellStart"/>
      <w:r w:rsidR="00DD1717" w:rsidRPr="00CA0C68">
        <w:rPr>
          <w:rFonts w:ascii="Georgia" w:hAnsi="Georgia" w:cs="Georgia"/>
          <w:color w:val="323232"/>
          <w:sz w:val="16"/>
          <w:szCs w:val="16"/>
        </w:rPr>
        <w:t>utopico</w:t>
      </w:r>
      <w:proofErr w:type="spellEnd"/>
      <w:r w:rsidR="00DD1717" w:rsidRPr="00CA0C68">
        <w:rPr>
          <w:rFonts w:ascii="Georgia" w:hAnsi="Georgia" w:cs="Georgia"/>
          <w:color w:val="323232"/>
          <w:sz w:val="16"/>
          <w:szCs w:val="16"/>
        </w:rPr>
        <w:t xml:space="preserve">-luddite </w:t>
      </w:r>
      <w:proofErr w:type="spellStart"/>
      <w:r w:rsidR="00DD1717" w:rsidRPr="00CA0C68">
        <w:rPr>
          <w:rFonts w:ascii="Georgia" w:hAnsi="Georgia" w:cs="Georgia"/>
          <w:i/>
          <w:iCs/>
          <w:color w:val="323232"/>
          <w:sz w:val="16"/>
          <w:szCs w:val="16"/>
        </w:rPr>
        <w:t>Erewhon</w:t>
      </w:r>
      <w:proofErr w:type="spellEnd"/>
      <w:r w:rsidR="00DD1717" w:rsidRPr="00CA0C68">
        <w:rPr>
          <w:rFonts w:ascii="Georgia" w:hAnsi="Georgia" w:cs="Georgia"/>
          <w:color w:val="323232"/>
          <w:sz w:val="16"/>
          <w:szCs w:val="16"/>
        </w:rPr>
        <w:t>, qui propose l’extermination immédiate de tout type de machine. « </w:t>
      </w:r>
      <w:r w:rsidR="00DD1717" w:rsidRPr="00CA0C68">
        <w:rPr>
          <w:rFonts w:ascii="Georgia" w:hAnsi="Georgia" w:cs="Georgia"/>
          <w:i/>
          <w:iCs/>
          <w:color w:val="323232"/>
          <w:sz w:val="16"/>
          <w:szCs w:val="16"/>
        </w:rPr>
        <w:t>Ne faisons aucune exception, pas de quartier</w:t>
      </w:r>
      <w:proofErr w:type="gramStart"/>
      <w:r w:rsidR="00DD1717" w:rsidRPr="00CA0C68">
        <w:rPr>
          <w:rFonts w:ascii="Times New Roman" w:hAnsi="Times New Roman" w:cs="Times New Roman"/>
          <w:i/>
          <w:iCs/>
          <w:color w:val="323232"/>
          <w:sz w:val="16"/>
          <w:szCs w:val="16"/>
        </w:rPr>
        <w:t> </w:t>
      </w:r>
      <w:r w:rsidR="00DD1717" w:rsidRPr="00CA0C68">
        <w:rPr>
          <w:rFonts w:ascii="Georgia" w:hAnsi="Georgia" w:cs="Georgia"/>
          <w:i/>
          <w:iCs/>
          <w:color w:val="323232"/>
          <w:sz w:val="16"/>
          <w:szCs w:val="16"/>
        </w:rPr>
        <w:t> !</w:t>
      </w:r>
      <w:proofErr w:type="gramEnd"/>
      <w:r w:rsidR="00DD1717" w:rsidRPr="00CA0C68">
        <w:rPr>
          <w:rFonts w:ascii="Georgia" w:hAnsi="Georgia" w:cs="Georgia"/>
          <w:color w:val="323232"/>
          <w:sz w:val="16"/>
          <w:szCs w:val="16"/>
        </w:rPr>
        <w:t xml:space="preserve"> » </w:t>
      </w:r>
      <w:r w:rsidR="00DD1717" w:rsidRPr="00CA0C68">
        <w:rPr>
          <w:rFonts w:ascii="Georgia" w:hAnsi="Georgia" w:cs="Georgia"/>
          <w:i/>
          <w:iCs/>
          <w:color w:val="323232"/>
          <w:sz w:val="16"/>
          <w:szCs w:val="16"/>
        </w:rPr>
        <w:t>La Machine s’arrête</w:t>
      </w:r>
      <w:r w:rsidR="00DD1717" w:rsidRPr="00CA0C68">
        <w:rPr>
          <w:rFonts w:ascii="Georgia" w:hAnsi="Georgia" w:cs="Georgia"/>
          <w:color w:val="323232"/>
          <w:sz w:val="16"/>
          <w:szCs w:val="16"/>
        </w:rPr>
        <w:t xml:space="preserve"> (1909) </w:t>
      </w:r>
      <w:proofErr w:type="gramStart"/>
      <w:r w:rsidR="00DD1717" w:rsidRPr="00CA0C68">
        <w:rPr>
          <w:rFonts w:ascii="Georgia" w:hAnsi="Georgia" w:cs="Georgia"/>
          <w:color w:val="323232"/>
          <w:sz w:val="16"/>
          <w:szCs w:val="16"/>
        </w:rPr>
        <w:t>de E</w:t>
      </w:r>
      <w:proofErr w:type="gramEnd"/>
      <w:r w:rsidR="00DD1717" w:rsidRPr="00CA0C68">
        <w:rPr>
          <w:rFonts w:ascii="Georgia" w:hAnsi="Georgia" w:cs="Georgia"/>
          <w:color w:val="323232"/>
          <w:sz w:val="16"/>
          <w:szCs w:val="16"/>
        </w:rPr>
        <w:t>. M. Forster, un classique du récit de techno-dépendance dans lequel les besoins physiques et spirituels de chacun sont désormais satisfaits par « </w:t>
      </w:r>
      <w:r w:rsidR="00DD1717" w:rsidRPr="00CA0C68">
        <w:rPr>
          <w:rFonts w:ascii="Georgia" w:hAnsi="Georgia" w:cs="Georgia"/>
          <w:i/>
          <w:iCs/>
          <w:color w:val="323232"/>
          <w:sz w:val="16"/>
          <w:szCs w:val="16"/>
        </w:rPr>
        <w:t>la machine omnipotente</w:t>
      </w:r>
      <w:r w:rsidR="00DD1717" w:rsidRPr="00CA0C68">
        <w:rPr>
          <w:rFonts w:ascii="Georgia" w:hAnsi="Georgia" w:cs="Georgia"/>
          <w:color w:val="323232"/>
          <w:sz w:val="16"/>
          <w:szCs w:val="16"/>
        </w:rPr>
        <w:t xml:space="preserve"> ». Et </w:t>
      </w:r>
      <w:r w:rsidR="00DD1717" w:rsidRPr="00CA0C68">
        <w:rPr>
          <w:rFonts w:ascii="Georgia" w:hAnsi="Georgia" w:cs="Georgia"/>
          <w:i/>
          <w:iCs/>
          <w:color w:val="323232"/>
          <w:sz w:val="16"/>
          <w:szCs w:val="16"/>
        </w:rPr>
        <w:t>­L’Esclavage moderne</w:t>
      </w:r>
      <w:r w:rsidR="00DD1717" w:rsidRPr="00CA0C68">
        <w:rPr>
          <w:rFonts w:ascii="Georgia" w:hAnsi="Georgia" w:cs="Georgia"/>
          <w:color w:val="323232"/>
          <w:sz w:val="16"/>
          <w:szCs w:val="16"/>
        </w:rPr>
        <w:t xml:space="preserve"> (1900) où Léon Tolstoï a la bonne idée de proclamer que, pour délivrer les hommes, il faut pulvériser les gouvernements avant de préciser, l’andouille, qu’on doit néanmoins rester évangéliques en tendant l’autre joue aux oppresseurs qui nous frappent.</w:t>
      </w:r>
    </w:p>
    <w:p w:rsidR="00283AF5" w:rsidRPr="00CA0C68" w:rsidRDefault="00283AF5" w:rsidP="00DD1717">
      <w:pPr>
        <w:rPr>
          <w:rFonts w:ascii="Georgia" w:hAnsi="Georgia" w:cs="Georgia"/>
          <w:color w:val="323232"/>
          <w:sz w:val="16"/>
          <w:szCs w:val="16"/>
        </w:rPr>
      </w:pPr>
    </w:p>
    <w:p w:rsidR="00283AF5" w:rsidRPr="00CA0C68" w:rsidRDefault="00283AF5" w:rsidP="00DD1717">
      <w:pPr>
        <w:rPr>
          <w:rFonts w:ascii="Georgia" w:hAnsi="Georgia" w:cs="Georgia"/>
          <w:color w:val="323232"/>
          <w:sz w:val="16"/>
          <w:szCs w:val="16"/>
        </w:rPr>
      </w:pPr>
    </w:p>
    <w:p w:rsidR="00283AF5" w:rsidRPr="00CA0C68" w:rsidRDefault="00283AF5" w:rsidP="00283AF5">
      <w:pPr>
        <w:rPr>
          <w:sz w:val="16"/>
          <w:szCs w:val="16"/>
        </w:rPr>
      </w:pPr>
      <w:r w:rsidRPr="00CA0C68">
        <w:rPr>
          <w:sz w:val="16"/>
          <w:szCs w:val="16"/>
        </w:rPr>
        <w:t>Article de C</w:t>
      </w:r>
      <w:proofErr w:type="gramStart"/>
      <w:r w:rsidRPr="00CA0C68">
        <w:rPr>
          <w:sz w:val="16"/>
          <w:szCs w:val="16"/>
        </w:rPr>
        <w:t>,Q,F,D</w:t>
      </w:r>
      <w:proofErr w:type="gramEnd"/>
      <w:r w:rsidRPr="00CA0C68">
        <w:rPr>
          <w:sz w:val="16"/>
          <w:szCs w:val="16"/>
        </w:rPr>
        <w:t>, ce qu’il faut détruire.</w:t>
      </w:r>
    </w:p>
    <w:p w:rsidR="00283AF5" w:rsidRPr="00CA0C68" w:rsidRDefault="00283AF5" w:rsidP="00283AF5">
      <w:pPr>
        <w:rPr>
          <w:sz w:val="16"/>
          <w:szCs w:val="16"/>
        </w:rPr>
      </w:pPr>
      <w:r w:rsidRPr="00CA0C68">
        <w:rPr>
          <w:sz w:val="16"/>
          <w:szCs w:val="16"/>
        </w:rPr>
        <w:t>A bientôt.</w:t>
      </w:r>
    </w:p>
    <w:p w:rsidR="00283AF5" w:rsidRPr="00CA0C68" w:rsidRDefault="00283AF5" w:rsidP="00283AF5">
      <w:pPr>
        <w:rPr>
          <w:sz w:val="16"/>
          <w:szCs w:val="16"/>
        </w:rPr>
      </w:pPr>
      <w:r w:rsidRPr="00CA0C68">
        <w:rPr>
          <w:sz w:val="16"/>
          <w:szCs w:val="16"/>
        </w:rPr>
        <w:t>Grosse bise numérique.</w:t>
      </w:r>
    </w:p>
    <w:sectPr w:rsidR="00283AF5" w:rsidRPr="00CA0C6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DD1717"/>
    <w:rsid w:val="00283AF5"/>
    <w:rsid w:val="005C3697"/>
    <w:rsid w:val="006F2F8F"/>
    <w:rsid w:val="00C2705C"/>
    <w:rsid w:val="00CA0C68"/>
    <w:rsid w:val="00DD17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7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171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171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qfd-journal.org/Brulot-Devenir-revolutionnair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2932</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2015-02-23T15:20:00Z</dcterms:created>
  <dcterms:modified xsi:type="dcterms:W3CDTF">2015-08-04T09:57:00Z</dcterms:modified>
</cp:coreProperties>
</file>